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360" w:after="0" w:lineRule="auto"/>
      </w:pPr>
      <w:r>
        <w:rPr>
          <w:rFonts w:eastAsia="source serif 4" w:cs="source serif 4" w:ascii="source serif 4" w:hAnsi="source serif 4"/>
          <w:color w:val="000000"/>
        </w:rPr>
        <w:drawing>
          <wp:inline distB="0" distL="0" distR="0" distT="0">
            <wp:extent cx="2420112" cy="609600"/>
            <wp:effectExtent b="0" l="0" r="0" t="0"/>
            <wp:docPr id="1" name="image-a9f9336325e805daaf7d280ac500881655c7daea.png"/>
            <a:graphic>
              <a:graphicData uri="http://schemas.openxmlformats.org/drawingml/2006/picture">
                <pic:pic>
                  <pic:nvPicPr>
                    <pic:cNvPr id="1" name="image-a9f9336325e805daaf7d280ac500881655c7daea.png" descr=""/>
                    <pic:cNvPicPr/>
                  </pic:nvPicPr>
                  <pic:blipFill>
                    <a:blip r:embed="rId5" cstate="print"/>
                    <a:srcRect b="0" l="0" r="0" t="0"/>
                    <a:stretch>
                      <a:fillRect/>
                    </a:stretch>
                  </pic:blipFill>
                  <pic:spPr>
                    <a:xfrm>
                      <a:off x="0" y="0"/>
                      <a:ext cx="2420112" cy="609600"/>
                    </a:xfrm>
                    <a:prstGeom prst="rect"/>
                  </pic:spPr>
                </pic:pic>
              </a:graphicData>
            </a:graphic>
          </wp:inline>
        </w:drawing>
      </w:r>
    </w:p>
    <w:p>
      <w:pPr>
        <w:spacing w:line="270" w:before="157.5" w:after="157.5" w:lineRule="auto"/>
        <w:jc w:val="left"/>
      </w:pPr>
      <w:bookmarkStart w:id="0" w:name="format_this_markdown_file_with_fr_f5bb0a"/>
      <w:r>
        <w:rPr>
          <w:rFonts w:eastAsia="source serif 4" w:cs="source serif 4" w:ascii="source serif 4" w:hAnsi="source serif 4"/>
          <w:b/>
          <w:color w:val="000000"/>
          <w:sz w:val="39"/>
        </w:rPr>
        <w:t xml:space="preserve">Format this Markdown file with front matter (YAML metadata) as well — for example, for use in a blog CMS like WordPress or Jekyll.</w:t>
      </w:r>
      <w:bookmarkEnd w:id="0"/>
    </w:p>
    <w:p>
      <w:pPr>
        <w:spacing w:line="360" w:after="210" w:lineRule="auto"/>
      </w:pPr>
      <w:r>
        <w:rPr>
          <w:rFonts w:eastAsia="source serif 4" w:cs="source serif 4" w:ascii="source serif 4" w:hAnsi="source serif 4"/>
          <w:color w:val="000000"/>
        </w:rPr>
        <w:t xml:space="preserve">Here’s an updated version of that Markdown article with YAML front matter suitable for a Jekyll-style or Markdown-friendly WordPress workflow.</w:t>
      </w:r>
      <w:bookmarkStart w:id="1" w:name="fnref1"/>
      <w:bookmarkEnd w:id="1"/>
      <w:hyperlink w:anchor="fn1">
        <w:r>
          <w:rPr>
            <w:rFonts w:eastAsia="source sans 3" w:cs="source sans 3" w:ascii="source sans 3" w:hAnsi="source sans 3"/>
            <w:color w:val="#000"/>
            <w:u w:val="single"/>
            <w:vertAlign w:val="superscript"/>
          </w:rPr>
          <w:t xml:space="preserve">[1]</w:t>
        </w:r>
      </w:hyperlink>
      <w:bookmarkStart w:id="2" w:name="fnref2"/>
      <w:bookmarkEnd w:id="2"/>
      <w:hyperlink w:anchor="fn2">
        <w:r>
          <w:rPr>
            <w:rFonts w:eastAsia="source sans 3" w:cs="source sans 3" w:ascii="source sans 3" w:hAnsi="source sans 3"/>
            <w:color w:val="#000"/>
            <w:u w:val="single"/>
            <w:vertAlign w:val="superscript"/>
          </w:rPr>
          <w:t xml:space="preserve">[2]</w:t>
        </w:r>
      </w:hyperlink>
      <w:bookmarkStart w:id="3" w:name="fnref3"/>
      <w:bookmarkEnd w:id="3"/>
      <w:hyperlink w:anchor="fn3">
        <w:r>
          <w:rPr>
            <w:rFonts w:eastAsia="source sans 3" w:cs="source sans 3" w:ascii="source sans 3" w:hAnsi="source sans 3"/>
            <w:color w:val="#000"/>
            <w:u w:val="single"/>
            <w:vertAlign w:val="superscript"/>
          </w:rPr>
          <w:t xml:space="preserve">[3]</w:t>
        </w:r>
      </w:hyperlink>
    </w:p>
    <w:p>
      <w:pPr>
        <w:pStyle w:val="SourceCode"/>
        <w:shd w:val="clear" w:fill="F8F8FA"/>
        <w:spacing w:line="336" w:lineRule="auto"/>
      </w:pPr>
      <w:r>
        <w:rPr>
          <w:rStyle w:val="VerbatimChar"/>
          <w:rFonts w:eastAsia="menlo" w:cs="menlo" w:ascii="menlo" w:hAnsi="menlo"/>
          <w:color w:val="000000"/>
          <w:sz w:val="18"/>
        </w:rPr>
        <w:t xml:space="preserve">---</w:t>
        <w:br/>
        <w:t xml:space="preserve">layout: post</w:t>
        <w:br/>
        <w:t xml:space="preserve">title: "Early Signs of Memory Loss in New Haven Seniors: When to Seek Professional Support"</w:t>
        <w:br/>
        <w:t xml:space="preserve">date: 2026-06-02</w:t>
        <w:br/>
        <w:t xml:space="preserve">author: "Always Best Care of Wallingford"</w:t>
        <w:br/>
        <w:t xml:space="preserve">categories:</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Senior Care</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Memory Care</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New Haven CT</w:t>
        <w:br/>
        <w:t xml:space="preserve">tags:</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memory loss</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early signs</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dementia</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Alzheimer’s</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in-home care</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New Haven seniors</w:t>
        <w:br/>
        <w:t xml:space="preserve">excerpt: "Learn how to recognize early signs of memory loss in New Haven seniors, when to seek professional support, and how in-home care can help maintain safety, independence, and quality of life."</w:t>
        <w:br/>
        <w:t xml:space="preserve">slug: "early-signs-memory-loss-new-haven-seniors"</w:t>
        <w:br/>
        <w:t xml:space="preserve"/>
      </w:r>
      <w:r>
        <w:rPr>
          <w:rStyle w:val="VerbatimChar"/>
          <w:rFonts w:eastAsia="menlo" w:cs="menlo" w:ascii="menlo" w:hAnsi="menlo"/>
          <w:color w:val="000000"/>
          <w:sz w:val="18"/>
        </w:rPr>
        <w:t xml:space="preserve">canonical</w:t>
      </w:r>
      <w:r>
        <w:rPr>
          <w:rStyle w:val="VerbatimChar"/>
          <w:rFonts w:eastAsia="menlo" w:cs="menlo" w:ascii="menlo" w:hAnsi="menlo"/>
          <w:color w:val="000000"/>
          <w:sz w:val="18"/>
        </w:rPr>
        <w:t xml:space="preserve">_url: "https://alwaysbestcare.com/new-haven/resources/early-signs-memory-loss-seniors-new-haven-ct/"</w:t>
        <w:br/>
        <w:t xml:space="preserve">---</w:t>
        <w:br/>
        <w:t xml:space="preserve"/>
        <w:br/>
        <w:t xml:space="preserve"># Early Signs of Memory Loss in New Haven Seniors: When to Seek Professional Support</w:t>
        <w:br/>
        <w:t xml:space="preserve"/>
        <w:br/>
        <w:t xml:space="preserve">It often starts small. A missed appointment here, a forgotten name there. At first, it’s easy to brush off. After all, everyone forgets things now and then. But over time, those little lapses can begin to feel different, heavier somehow. For families, recognizing the early signs matters more than most people realize.</w:t>
        <w:br/>
        <w:t xml:space="preserve"/>
        <w:br/>
        <w:t xml:space="preserve">Understanding [</w:t>
      </w:r>
      <w:r>
        <w:rPr>
          <w:rStyle w:val="VerbatimChar"/>
          <w:rFonts w:eastAsia="menlo" w:cs="menlo" w:ascii="menlo" w:hAnsi="menlo"/>
          <w:color w:val="000000"/>
          <w:sz w:val="18"/>
        </w:rPr>
        <w:t xml:space="preserve">Early Signs of Memory Loss](</w:t>
      </w:r>
      <w:r>
        <w:rPr>
          <w:rStyle w:val="VerbatimChar"/>
          <w:rFonts w:eastAsia="menlo" w:cs="menlo" w:ascii="menlo" w:hAnsi="menlo"/>
          <w:color w:val="000000"/>
          <w:sz w:val="18"/>
        </w:rPr>
        <w:t xml:space="preserve">https://alwaysbestcare.com/new-haven/resources/families-facing-early-memory-loss-are-not-alone/) in New Haven Seniors: When to Seek Professional Support can help you act sooner rather than later, giving your loved one the care and dignity they deserve.</w:t>
        <w:br/>
        <w:t xml:space="preserve"/>
        <w:br/>
        <w:t xml:space="preserve">## What You Will Learn</w:t>
        <w:br/>
        <w:t xml:space="preserve"/>
        <w:br/>
        <w:t xml:space="preserve">- How to recognize early signs of memory loss and understand when changes may go beyond normal aging.</w:t>
        <w:br/>
        <w:t xml:space="preserve">- The emotional and behavioral shifts that often accompany memory loss in seniors.</w:t>
        <w:br/>
        <w:t xml:space="preserve">- When it’s time to seek professional support and why early action matters.</w:t>
        <w:br/>
        <w:t xml:space="preserve">- How in-home care can support independence, safety, and overall quality of life.</w:t>
        <w:br/>
        <w:t xml:space="preserve"/>
        <w:br/>
        <w:t xml:space="preserve">## Table of Contents</w:t>
        <w:br/>
        <w:t xml:space="preserve"/>
        <w:br/>
        <w:t xml:space="preserve">- [</w:t>
      </w:r>
      <w:r>
        <w:rPr>
          <w:rStyle w:val="VerbatimChar"/>
          <w:rFonts w:eastAsia="menlo" w:cs="menlo" w:ascii="menlo" w:hAnsi="menlo"/>
          <w:color w:val="000000"/>
          <w:sz w:val="18"/>
        </w:rPr>
        <w:t xml:space="preserve">Understanding Memory Loss and Aging](</w:t>
      </w:r>
      <w:r>
        <w:rPr>
          <w:rStyle w:val="VerbatimChar"/>
          <w:rFonts w:eastAsia="menlo" w:cs="menlo" w:ascii="menlo" w:hAnsi="menlo"/>
          <w:color w:val="000000"/>
          <w:sz w:val="18"/>
        </w:rPr>
        <w:t xml:space="preserve">#understanding-memory-loss-and-aging)</w:t>
        <w:br/>
        <w:t xml:space="preserve">- [</w:t>
      </w:r>
      <w:r>
        <w:rPr>
          <w:rStyle w:val="VerbatimChar"/>
          <w:rFonts w:eastAsia="menlo" w:cs="menlo" w:ascii="menlo" w:hAnsi="menlo"/>
          <w:color w:val="000000"/>
          <w:sz w:val="18"/>
        </w:rPr>
        <w:t xml:space="preserve">Early Signs That Deserve Attention](</w:t>
      </w:r>
      <w:r>
        <w:rPr>
          <w:rStyle w:val="VerbatimChar"/>
          <w:rFonts w:eastAsia="menlo" w:cs="menlo" w:ascii="menlo" w:hAnsi="menlo"/>
          <w:color w:val="000000"/>
          <w:sz w:val="18"/>
        </w:rPr>
        <w:t xml:space="preserve">#early-signs-that-deserve-attention)</w:t>
        <w:br/>
        <w:t xml:space="preserve">- [</w:t>
      </w:r>
      <w:r>
        <w:rPr>
          <w:rStyle w:val="VerbatimChar"/>
          <w:rFonts w:eastAsia="menlo" w:cs="menlo" w:ascii="menlo" w:hAnsi="menlo"/>
          <w:color w:val="000000"/>
          <w:sz w:val="18"/>
        </w:rPr>
        <w:t xml:space="preserve">Emotional and Social Changes](</w:t>
      </w:r>
      <w:r>
        <w:rPr>
          <w:rStyle w:val="VerbatimChar"/>
          <w:rFonts w:eastAsia="menlo" w:cs="menlo" w:ascii="menlo" w:hAnsi="menlo"/>
          <w:color w:val="000000"/>
          <w:sz w:val="18"/>
        </w:rPr>
        <w:t xml:space="preserve">#emotional-and-social-changes)</w:t>
        <w:br/>
        <w:t xml:space="preserve">- [</w:t>
      </w:r>
      <w:r>
        <w:rPr>
          <w:rStyle w:val="VerbatimChar"/>
          <w:rFonts w:eastAsia="menlo" w:cs="menlo" w:ascii="menlo" w:hAnsi="menlo"/>
          <w:color w:val="000000"/>
          <w:sz w:val="18"/>
        </w:rPr>
        <w:t xml:space="preserve">Early Signs of Memory Loss in New Haven Seniors: When to Seek Professional Support](</w:t>
      </w:r>
      <w:r>
        <w:rPr>
          <w:rStyle w:val="VerbatimChar"/>
          <w:rFonts w:eastAsia="menlo" w:cs="menlo" w:ascii="menlo" w:hAnsi="menlo"/>
          <w:color w:val="000000"/>
          <w:sz w:val="18"/>
        </w:rPr>
        <w:t xml:space="preserve">#early-signs-of-memory-loss-in-new-haven-seniors-when-to-seek-professional-support)</w:t>
        <w:br/>
        <w:t xml:space="preserve">- [</w:t>
      </w:r>
      <w:r>
        <w:rPr>
          <w:rStyle w:val="VerbatimChar"/>
          <w:rFonts w:eastAsia="menlo" w:cs="menlo" w:ascii="menlo" w:hAnsi="menlo"/>
          <w:color w:val="000000"/>
          <w:sz w:val="18"/>
        </w:rPr>
        <w:t xml:space="preserve">How In-Home Support Can Help](</w:t>
      </w:r>
      <w:r>
        <w:rPr>
          <w:rStyle w:val="VerbatimChar"/>
          <w:rFonts w:eastAsia="menlo" w:cs="menlo" w:ascii="menlo" w:hAnsi="menlo"/>
          <w:color w:val="000000"/>
          <w:sz w:val="18"/>
        </w:rPr>
        <w:t xml:space="preserve">#how-in-home-support-can-help)</w:t>
        <w:br/>
        <w:t xml:space="preserve">- [</w:t>
      </w:r>
      <w:r>
        <w:rPr>
          <w:rStyle w:val="VerbatimChar"/>
          <w:rFonts w:eastAsia="menlo" w:cs="menlo" w:ascii="menlo" w:hAnsi="menlo"/>
          <w:color w:val="000000"/>
          <w:sz w:val="18"/>
        </w:rPr>
        <w:t xml:space="preserve">Supporting Independence With Care](</w:t>
      </w:r>
      <w:r>
        <w:rPr>
          <w:rStyle w:val="VerbatimChar"/>
          <w:rFonts w:eastAsia="menlo" w:cs="menlo" w:ascii="menlo" w:hAnsi="menlo"/>
          <w:color w:val="000000"/>
          <w:sz w:val="18"/>
        </w:rPr>
        <w:t xml:space="preserve">#supporting-independence-with-care)</w:t>
        <w:br/>
        <w:t xml:space="preserve">- [</w:t>
      </w:r>
      <w:r>
        <w:rPr>
          <w:rStyle w:val="VerbatimChar"/>
          <w:rFonts w:eastAsia="menlo" w:cs="menlo" w:ascii="menlo" w:hAnsi="menlo"/>
          <w:color w:val="000000"/>
          <w:sz w:val="18"/>
        </w:rPr>
        <w:t xml:space="preserve">Frequently Asked Questions](</w:t>
      </w:r>
      <w:r>
        <w:rPr>
          <w:rStyle w:val="VerbatimChar"/>
          <w:rFonts w:eastAsia="menlo" w:cs="menlo" w:ascii="menlo" w:hAnsi="menlo"/>
          <w:color w:val="000000"/>
          <w:sz w:val="18"/>
        </w:rPr>
        <w:t xml:space="preserve">#frequently-asked-questions)</w:t>
        <w:br/>
        <w:t xml:space="preserve">- [</w:t>
      </w:r>
      <w:r>
        <w:rPr>
          <w:rStyle w:val="VerbatimChar"/>
          <w:rFonts w:eastAsia="menlo" w:cs="menlo" w:ascii="menlo" w:hAnsi="menlo"/>
          <w:color w:val="000000"/>
          <w:sz w:val="18"/>
        </w:rPr>
        <w:t xml:space="preserve">Taking the Next Step With Confidence and Care](</w:t>
      </w:r>
      <w:r>
        <w:rPr>
          <w:rStyle w:val="VerbatimChar"/>
          <w:rFonts w:eastAsia="menlo" w:cs="menlo" w:ascii="menlo" w:hAnsi="menlo"/>
          <w:color w:val="000000"/>
          <w:sz w:val="18"/>
        </w:rPr>
        <w:t xml:space="preserve">#taking-the-next-step-with-confidence-and-care)</w:t>
        <w:br/>
        <w:t xml:space="preserve"/>
        <w:br/>
        <w:t xml:space="preserve">## Understanding Memory Loss and Aging</w:t>
        <w:br/>
        <w:t xml:space="preserve"/>
        <w:br/>
        <w:t xml:space="preserve">Aging brings change, that’s a given. Slower recall or occasionally misplacing keys isn’t unusual. What raises concern is when [</w:t>
      </w:r>
      <w:r>
        <w:rPr>
          <w:rStyle w:val="VerbatimChar"/>
          <w:rFonts w:eastAsia="menlo" w:cs="menlo" w:ascii="menlo" w:hAnsi="menlo"/>
          <w:color w:val="000000"/>
          <w:sz w:val="18"/>
        </w:rPr>
        <w:t xml:space="preserve">memory issues](</w:t>
      </w:r>
      <w:r>
        <w:rPr>
          <w:rStyle w:val="VerbatimChar"/>
          <w:rFonts w:eastAsia="menlo" w:cs="menlo" w:ascii="menlo" w:hAnsi="menlo"/>
          <w:color w:val="000000"/>
          <w:sz w:val="18"/>
        </w:rPr>
        <w:t xml:space="preserve">https://alwaysbestcare.com/new-haven/resources/early-signs-dementia-wallingford-ct/) begin to interrupt daily life.</w:t>
        <w:br/>
        <w:t xml:space="preserve"/>
        <w:br/>
        <w:t xml:space="preserve">Someone might forget recent conversations entirely, struggle to follow a familiar recipe, or feel disoriented in places they’ve known for years. These aren’t just “senior moments.” They can signal something deeper that shouldn’t be ignored.</w:t>
        <w:br/>
        <w:t xml:space="preserve"/>
        <w:br/>
        <w:t xml:space="preserve">## Early Signs That Deserve Attention</w:t>
        <w:br/>
        <w:t xml:space="preserve"/>
        <w:br/>
        <w:t xml:space="preserve">Memory loss doesn’t always announce itself loudly. It tends to creep in quietly, showing up in everyday routines.</w:t>
        <w:br/>
        <w:t xml:space="preserve"/>
        <w:br/>
        <w:t xml:space="preserve">You might notice your loved one asking the same questions repeatedly, even after getting answers. Tasks they once handled with ease, like managing bills or cooking meals, suddenly feel overwhelming. Conversations may become harder to follow, with pauses or word-finding struggles that weren’t there before.</w:t>
        <w:br/>
        <w:t xml:space="preserve"/>
        <w:br/>
        <w:t xml:space="preserve">There can also be subtle personality shifts. Someone who was once outgoing may start withdrawing. Frustration, confusion, or even suspicion can appear, especially in unfamiliar situations. These changes often carry more weight than simple forgetfulness.</w:t>
        <w:br/>
        <w:t xml:space="preserve"/>
        <w:br/>
        <w:t xml:space="preserve">## Emotional and Social Changes</w:t>
        <w:br/>
        <w:t xml:space="preserve"/>
        <w:br/>
        <w:t xml:space="preserve">Memory loss isn’t just about memory. It touches everything, including how a person feels and how they connect with others.</w:t>
        <w:br/>
        <w:t xml:space="preserve"/>
        <w:br/>
        <w:t xml:space="preserve">Seniors may begin pulling away from social activities they once enjoyed. A weekly lunch with friends or a favorite hobby might quietly fall off the calendar. That withdrawal can lead to loneliness, which in turn can worsen [</w:t>
      </w:r>
      <w:r>
        <w:rPr>
          <w:rStyle w:val="VerbatimChar"/>
          <w:rFonts w:eastAsia="menlo" w:cs="menlo" w:ascii="menlo" w:hAnsi="menlo"/>
          <w:color w:val="000000"/>
          <w:sz w:val="18"/>
        </w:rPr>
        <w:t xml:space="preserve">cognitive decline](</w:t>
      </w:r>
      <w:r>
        <w:rPr>
          <w:rStyle w:val="VerbatimChar"/>
          <w:rFonts w:eastAsia="menlo" w:cs="menlo" w:ascii="menlo" w:hAnsi="menlo"/>
          <w:color w:val="000000"/>
          <w:sz w:val="18"/>
        </w:rPr>
        <w:t xml:space="preserve">https://alwaysbestcare.com/new-haven/resources/understanding-the-progression-of-alzheimers-disease/).</w:t>
        <w:br/>
        <w:t xml:space="preserve"/>
        <w:br/>
        <w:t xml:space="preserve">Mood changes are common too. Anxiety, irritability, or sudden sadness may surface without a clear reason. For families, these emotional shifts can be just as concerning as memory issues themselves.</w:t>
        <w:br/>
        <w:t xml:space="preserve"/>
        <w:br/>
        <w:t xml:space="preserve">## Early Signs of Memory Loss in New Haven Seniors: When to Seek Professional Support</w:t>
        <w:br/>
        <w:t xml:space="preserve"/>
        <w:br/>
        <w:t xml:space="preserve">So how do you know when it’s time to step in? The answer usually lies in patterns, not one-off moments.</w:t>
        <w:br/>
        <w:t xml:space="preserve"/>
        <w:br/>
        <w:t xml:space="preserve">If memory lapses are becoming frequent, affecting safety, or interfering with daily life, it’s time to take a closer look. Getting lost in familiar areas, forgetting to take medications, or neglecting basic hygiene are all signs that support may be needed.</w:t>
        <w:br/>
        <w:t xml:space="preserve"/>
        <w:br/>
        <w:t xml:space="preserve">Seeking professional guidance doesn’t mean giving up independence. In many cases, it helps preserve it. Early support can slow progression, provide structure, and restore a sense of stability to daily life.</w:t>
        <w:br/>
        <w:t xml:space="preserve"/>
        <w:br/>
        <w:t xml:space="preserve">## How In-Home Support Can Help</w:t>
        <w:br/>
        <w:t xml:space="preserve"/>
        <w:br/>
        <w:t xml:space="preserve">For many families in New Haven, staying at home is the goal. Familiar surroundings can provide comfort and reduce confusion.</w:t>
        <w:br/>
        <w:t xml:space="preserve"/>
        <w:br/>
        <w:t xml:space="preserve">Professional caregivers offer more than just assistance. They help establish routines, provide gentle reminders, and create meaningful moments throughout the day. Whether it’s [</w:t>
      </w:r>
      <w:r>
        <w:rPr>
          <w:rStyle w:val="VerbatimChar"/>
          <w:rFonts w:eastAsia="menlo" w:cs="menlo" w:ascii="menlo" w:hAnsi="menlo"/>
          <w:color w:val="000000"/>
          <w:sz w:val="18"/>
        </w:rPr>
        <w:t xml:space="preserve">sharing a meal](</w:t>
      </w:r>
      <w:r>
        <w:rPr>
          <w:rStyle w:val="VerbatimChar"/>
          <w:rFonts w:eastAsia="menlo" w:cs="menlo" w:ascii="menlo" w:hAnsi="menlo"/>
          <w:color w:val="000000"/>
          <w:sz w:val="18"/>
        </w:rPr>
        <w:t xml:space="preserve">https://alwaysbestcare.com/new-haven/resources/new-link-between-sugar-and-alzheimers/), going for a walk, or simply sitting together, those interactions carry real value.</w:t>
        <w:br/>
        <w:t xml:space="preserve"/>
        <w:br/>
        <w:t xml:space="preserve">Care also extends to families. Having reliable support eases the pressure, giving loved ones space to rest and recharge without constant worry.</w:t>
        <w:br/>
        <w:t xml:space="preserve"/>
        <w:br/>
        <w:t xml:space="preserve">## Supporting Independence With Care</w:t>
        <w:br/>
        <w:t xml:space="preserve"/>
        <w:br/>
        <w:t xml:space="preserve">There’s a common fear that bringing in help means losing control. In reality, the opposite is often true.</w:t>
        <w:br/>
        <w:t xml:space="preserve"/>
        <w:br/>
        <w:t xml:space="preserve">With the right support, seniors can maintain their routines longer. They can continue living in a place they know and love, with guidance that feels respectful rather than intrusive. It’s about meeting them where they are, not forcing change too quickly.</w:t>
        <w:br/>
        <w:t xml:space="preserve"/>
        <w:br/>
        <w:t xml:space="preserve">## Frequently Asked Questions</w:t>
        <w:br/>
        <w:t xml:space="preserve"/>
        <w:br/>
        <w:t xml:space="preserve"/>
      </w:r>
      <w:r>
        <w:rPr>
          <w:rStyle w:val="VerbatimChar"/>
          <w:rFonts w:eastAsia="menlo" w:cs="menlo" w:ascii="menlo" w:hAnsi="menlo"/>
          <w:color w:val="000000"/>
          <w:sz w:val="18"/>
        </w:rPr>
        <w:t xml:space="preserve">**Q: What are the earliest signs of memory loss in seniors?**  </w:t>
        <w:br/>
        <w:t xml:space="preserve">A: Early signs often include forgetting recent events, repeating questions, struggling with familiar tasks, and experiencing confusion about time or place.</w:t>
        <w:br/>
        <w:t xml:space="preserve"/>
        <w:br/>
        <w:t xml:space="preserve"/>
      </w:r>
      <w:r>
        <w:rPr>
          <w:rStyle w:val="VerbatimChar"/>
          <w:rFonts w:eastAsia="menlo" w:cs="menlo" w:ascii="menlo" w:hAnsi="menlo"/>
          <w:color w:val="000000"/>
          <w:sz w:val="18"/>
        </w:rPr>
        <w:t xml:space="preserve">**Q: When should I be concerned about memory loss?**  </w:t>
        <w:br/>
        <w:t xml:space="preserve">A: Concern is warranted when memory issues interfere with daily life, safety, or communication, especially if the changes are consistent or worsening.</w:t>
        <w:br/>
        <w:t xml:space="preserve"/>
        <w:br/>
        <w:t xml:space="preserve"/>
      </w:r>
      <w:r>
        <w:rPr>
          <w:rStyle w:val="VerbatimChar"/>
          <w:rFonts w:eastAsia="menlo" w:cs="menlo" w:ascii="menlo" w:hAnsi="menlo"/>
          <w:color w:val="000000"/>
          <w:sz w:val="18"/>
        </w:rPr>
        <w:t xml:space="preserve">**Q: Can early memory loss be treated or managed?**  </w:t>
        <w:br/>
        <w:t xml:space="preserve">A: While some conditions cannot be reversed, [</w:t>
      </w:r>
      <w:r>
        <w:rPr>
          <w:rStyle w:val="VerbatimChar"/>
          <w:rFonts w:eastAsia="menlo" w:cs="menlo" w:ascii="menlo" w:hAnsi="menlo"/>
          <w:color w:val="000000"/>
          <w:sz w:val="18"/>
        </w:rPr>
        <w:t xml:space="preserve">early intervention](</w:t>
      </w:r>
      <w:r>
        <w:rPr>
          <w:rStyle w:val="VerbatimChar"/>
          <w:rFonts w:eastAsia="menlo" w:cs="menlo" w:ascii="menlo" w:hAnsi="menlo"/>
          <w:color w:val="000000"/>
          <w:sz w:val="18"/>
        </w:rPr>
        <w:t xml:space="preserve">https://alwaysbestcare.com/new-haven/resources/benefits-of-in-home-care-for-seniors-with-alzheimers-disease/) can slow progression, improve quality of life, and provide tools to manage symptoms effectively.</w:t>
        <w:br/>
        <w:t xml:space="preserve"/>
        <w:br/>
        <w:t xml:space="preserve"/>
      </w:r>
      <w:r>
        <w:rPr>
          <w:rStyle w:val="VerbatimChar"/>
          <w:rFonts w:eastAsia="menlo" w:cs="menlo" w:ascii="menlo" w:hAnsi="menlo"/>
          <w:color w:val="000000"/>
          <w:sz w:val="18"/>
        </w:rPr>
        <w:t xml:space="preserve">**Q: Who should I contact for help in New Haven?**  </w:t>
        <w:br/>
        <w:t xml:space="preserve">A: You can start with a primary care physician for evaluation, then explore local in-home care providers or memory care specialists for ongoing support.</w:t>
        <w:br/>
        <w:t xml:space="preserve"/>
        <w:br/>
        <w:t xml:space="preserve">## Taking the Next Step With Confidence and Care</w:t>
        <w:br/>
        <w:t xml:space="preserve"/>
        <w:br/>
        <w:t xml:space="preserve">Catching the signs early can make all the difference. Early Signs of Memory Loss in New Haven Seniors: When to Seek Professional Support isn’t just a topic, it’s a turning point for many families.</w:t>
        <w:br/>
        <w:t xml:space="preserve"/>
        <w:br/>
        <w:t xml:space="preserve">If your loved one could benefit from compassionate, in-home memory care, reach out to [</w:t>
      </w:r>
      <w:r>
        <w:rPr>
          <w:rStyle w:val="VerbatimChar"/>
          <w:rFonts w:eastAsia="menlo" w:cs="menlo" w:ascii="menlo" w:hAnsi="menlo"/>
          <w:color w:val="000000"/>
          <w:sz w:val="18"/>
        </w:rPr>
        <w:t xml:space="preserve">Always Best Care of Wallingford](</w:t>
      </w:r>
      <w:r>
        <w:rPr>
          <w:rStyle w:val="VerbatimChar"/>
          <w:rFonts w:eastAsia="menlo" w:cs="menlo" w:ascii="menlo" w:hAnsi="menlo"/>
          <w:color w:val="000000"/>
          <w:sz w:val="18"/>
        </w:rPr>
        <w:t xml:space="preserve">https://alwaysbestcare.com/new-haven/) at [</w:t>
      </w:r>
      <w:r>
        <w:rPr>
          <w:rStyle w:val="VerbatimChar"/>
          <w:rFonts w:eastAsia="menlo" w:cs="menlo" w:ascii="menlo" w:hAnsi="menlo"/>
          <w:color w:val="000000"/>
          <w:sz w:val="18"/>
        </w:rPr>
        <w:t xml:space="preserve">(203) 347-2038](</w:t>
      </w:r>
      <w:r>
        <w:rPr>
          <w:rStyle w:val="VerbatimChar"/>
          <w:rFonts w:eastAsia="menlo" w:cs="menlo" w:ascii="menlo" w:hAnsi="menlo"/>
          <w:color w:val="000000"/>
          <w:sz w:val="18"/>
        </w:rPr>
        <w:t xml:space="preserve">tel:(203)347-2038) today. A simple conversation can open the door to comfort, clarity, and peace of mind.</w:t>
        <w:br/>
        <w:t xml:space="preserve"/>
      </w:r>
    </w:p>
    <w:p>
      <w:pPr>
        <w:spacing w:line="360" w:after="210" w:lineRule="auto"/>
      </w:pPr>
      <w:r>
        <w:rPr>
          <w:rFonts w:eastAsia="source serif 4" w:cs="source serif 4" w:ascii="source serif 4" w:hAnsi="source serif 4"/>
          <w:color w:val="000000"/>
        </w:rPr>
        <w:t xml:space="preserve">If you tell me which CMS you’re dropping this into (e.g., native Jekyll, WordPress with a specific Markdown plugin, or another static site generator), I can tweak the front matter keys to match it exactly.</w:t>
      </w:r>
      <w:r>
        <w:rPr>
          <w:rFonts w:eastAsia="source serif 4" w:cs="source serif 4" w:ascii="source serif 4" w:hAnsi="source serif 4"/>
          <w:color w:val="000000"/>
        </w:rPr>
        <w:br w:type="textWrapping"/>
      </w:r>
    </w:p>
    <w:p>
      <w:pPr>
        <w:spacing w:line="360" w:lineRule="auto"/>
      </w:pPr>
      <w:r>
        <w:rPr>
          <w:rFonts w:eastAsia="source serif 4" w:cs="source serif 4" w:ascii="source serif 4" w:hAnsi="source serif 4"/>
          <w:color w:val="000000"/>
        </w:rPr>
        <w:t xml:space="preserve">⁂</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bookmarkStart w:id="4" w:name="fn1"/>
    <w:bookmarkEnd w:id="4"/>
    <w:p>
      <w:pPr>
        <w:numPr>
          <w:ilvl w:val="0"/>
          <w:numId w:val="2"/>
        </w:numPr>
        <w:spacing w:line="360" w:after="210" w:lineRule="auto"/>
      </w:pPr>
      <w:hyperlink r:id="rId6">
        <w:r>
          <w:rPr>
            <w:rFonts w:eastAsia="source sans 3" w:cs="source sans 3" w:ascii="source sans 3" w:hAnsi="source sans 3"/>
            <w:color w:val="#000"/>
            <w:sz w:val="18"/>
            <w:u w:val="single"/>
          </w:rPr>
          <w:t xml:space="preserve">https://ashmaroli.github.io/jekyll/docs/front-matter/</w:t>
        </w:r>
      </w:hyperlink>
      <w:r>
        <w:rPr>
          <w:rFonts w:eastAsia="source serif 4" w:cs="source serif 4" w:ascii="source serif 4" w:hAnsi="source serif 4"/>
          <w:color w:val="000000"/>
          <w:sz w:val="18"/>
        </w:rPr>
        <w:t xml:space="preserve"> </w:t>
      </w:r>
    </w:p>
    <w:bookmarkStart w:id="5" w:name="fn2"/>
    <w:bookmarkEnd w:id="5"/>
    <w:p>
      <w:pPr>
        <w:numPr>
          <w:ilvl w:val="0"/>
          <w:numId w:val="2"/>
        </w:numPr>
        <w:spacing w:line="360" w:after="210" w:lineRule="auto"/>
      </w:pPr>
      <w:hyperlink r:id="rId7">
        <w:r>
          <w:rPr>
            <w:rFonts w:eastAsia="source sans 3" w:cs="source sans 3" w:ascii="source sans 3" w:hAnsi="source sans 3"/>
            <w:color w:val="#000"/>
            <w:sz w:val="18"/>
            <w:u w:val="single"/>
          </w:rPr>
          <w:t xml:space="preserve">https://jekyllrb.com/docs/front-matter/</w:t>
        </w:r>
      </w:hyperlink>
      <w:r>
        <w:rPr>
          <w:rFonts w:eastAsia="source serif 4" w:cs="source serif 4" w:ascii="source serif 4" w:hAnsi="source serif 4"/>
          <w:color w:val="000000"/>
          <w:sz w:val="18"/>
        </w:rPr>
        <w:t xml:space="preserve"> </w:t>
      </w:r>
    </w:p>
    <w:bookmarkStart w:id="6" w:name="fn3"/>
    <w:bookmarkEnd w:id="6"/>
    <w:p>
      <w:pPr>
        <w:numPr>
          <w:ilvl w:val="0"/>
          <w:numId w:val="2"/>
        </w:numPr>
        <w:spacing w:line="360" w:after="210" w:lineRule="auto"/>
      </w:pPr>
      <w:hyperlink r:id="rId8">
        <w:r>
          <w:rPr>
            <w:rFonts w:eastAsia="source sans 3" w:cs="source sans 3" w:ascii="source sans 3" w:hAnsi="source sans 3"/>
            <w:color w:val="#000"/>
            <w:sz w:val="18"/>
            <w:u w:val="single"/>
          </w:rPr>
          <w:t xml:space="preserve">https://www.billtetrault.com/jekyll/</w:t>
        </w:r>
      </w:hyperlink>
      <w:r>
        <w:rPr>
          <w:rFonts w:eastAsia="source serif 4" w:cs="source serif 4" w:ascii="source serif 4" w:hAnsi="source serif 4"/>
          <w:color w:val="000000"/>
          <w:sz w:val="18"/>
        </w:rPr>
        <w:t xml:space="preserve"> </w:t>
      </w:r>
    </w:p>
    <w:bookmarkStart w:id="7" w:name="fn4"/>
    <w:bookmarkEnd w:id="7"/>
    <w:p>
      <w:pPr>
        <w:numPr>
          <w:ilvl w:val="0"/>
          <w:numId w:val="2"/>
        </w:numPr>
        <w:spacing w:line="360" w:after="210" w:lineRule="auto"/>
      </w:pPr>
      <w:hyperlink r:id="rId9">
        <w:r>
          <w:rPr>
            <w:rFonts w:eastAsia="source sans 3" w:cs="source sans 3" w:ascii="source sans 3" w:hAnsi="source sans 3"/>
            <w:color w:val="#000"/>
            <w:sz w:val="18"/>
            <w:u w:val="single"/>
          </w:rPr>
          <w:t xml:space="preserve">https://hexo.io/docs/front-matter</w:t>
        </w:r>
      </w:hyperlink>
      <w:r>
        <w:rPr>
          <w:rFonts w:eastAsia="source serif 4" w:cs="source serif 4" w:ascii="source serif 4" w:hAnsi="source serif 4"/>
          <w:color w:val="000000"/>
          <w:sz w:val="18"/>
        </w:rPr>
        <w:t xml:space="preserve"> </w:t>
      </w:r>
    </w:p>
    <w:bookmarkStart w:id="8" w:name="fn5"/>
    <w:bookmarkEnd w:id="8"/>
    <w:p>
      <w:pPr>
        <w:numPr>
          <w:ilvl w:val="0"/>
          <w:numId w:val="2"/>
        </w:numPr>
        <w:spacing w:line="360" w:after="210" w:lineRule="auto"/>
      </w:pPr>
      <w:hyperlink r:id="rId10">
        <w:r>
          <w:rPr>
            <w:rFonts w:eastAsia="source sans 3" w:cs="source sans 3" w:ascii="source sans 3" w:hAnsi="source sans 3"/>
            <w:color w:val="#000"/>
            <w:sz w:val="18"/>
            <w:u w:val="single"/>
          </w:rPr>
          <w:t xml:space="preserve">https://www.youtube.com/watch?v=9vgQ8pd-8ek</w:t>
        </w:r>
      </w:hyperlink>
      <w:r>
        <w:rPr>
          <w:rFonts w:eastAsia="source serif 4" w:cs="source serif 4" w:ascii="source serif 4" w:hAnsi="source serif 4"/>
          <w:color w:val="000000"/>
          <w:sz w:val="18"/>
        </w:rPr>
        <w:t xml:space="preserve"> </w:t>
      </w:r>
    </w:p>
    <w:bookmarkStart w:id="9" w:name="fn6"/>
    <w:bookmarkEnd w:id="9"/>
    <w:p>
      <w:pPr>
        <w:numPr>
          <w:ilvl w:val="0"/>
          <w:numId w:val="2"/>
        </w:numPr>
        <w:spacing w:line="360" w:after="210" w:lineRule="auto"/>
      </w:pPr>
      <w:hyperlink r:id="rId11">
        <w:r>
          <w:rPr>
            <w:rFonts w:eastAsia="source sans 3" w:cs="source sans 3" w:ascii="source sans 3" w:hAnsi="source sans 3"/>
            <w:color w:val="#000"/>
            <w:sz w:val="18"/>
            <w:u w:val="single"/>
          </w:rPr>
          <w:t xml:space="preserve">https://www.zettelnotes.com/note/yaml-frontmatter/</w:t>
        </w:r>
      </w:hyperlink>
      <w:r>
        <w:rPr>
          <w:rFonts w:eastAsia="source serif 4" w:cs="source serif 4" w:ascii="source serif 4" w:hAnsi="source serif 4"/>
          <w:color w:val="000000"/>
          <w:sz w:val="18"/>
        </w:rPr>
        <w:t xml:space="preserve"> </w:t>
      </w:r>
    </w:p>
    <w:bookmarkStart w:id="10" w:name="fn7"/>
    <w:bookmarkEnd w:id="10"/>
    <w:p>
      <w:pPr>
        <w:numPr>
          <w:ilvl w:val="0"/>
          <w:numId w:val="2"/>
        </w:numPr>
        <w:spacing w:line="360" w:after="210" w:lineRule="auto"/>
      </w:pPr>
      <w:hyperlink r:id="rId12">
        <w:r>
          <w:rPr>
            <w:rFonts w:eastAsia="source sans 3" w:cs="source sans 3" w:ascii="source sans 3" w:hAnsi="source sans 3"/>
            <w:color w:val="#000"/>
            <w:sz w:val="18"/>
            <w:u w:val="single"/>
          </w:rPr>
          <w:t xml:space="preserve">https://github.com/Kernix13/markdown-cheatsheet/blob/master/frontmatter.md</w:t>
        </w:r>
      </w:hyperlink>
      <w:r>
        <w:rPr>
          <w:rFonts w:eastAsia="source serif 4" w:cs="source serif 4" w:ascii="source serif 4" w:hAnsi="source serif 4"/>
          <w:color w:val="000000"/>
          <w:sz w:val="18"/>
        </w:rPr>
        <w:t xml:space="preserve"> </w:t>
      </w:r>
    </w:p>
    <w:bookmarkStart w:id="11" w:name="fn8"/>
    <w:bookmarkEnd w:id="11"/>
    <w:p>
      <w:pPr>
        <w:numPr>
          <w:ilvl w:val="0"/>
          <w:numId w:val="2"/>
        </w:numPr>
        <w:spacing w:line="360" w:after="210" w:lineRule="auto"/>
      </w:pPr>
      <w:hyperlink r:id="rId13">
        <w:r>
          <w:rPr>
            <w:rFonts w:eastAsia="source sans 3" w:cs="source sans 3" w:ascii="source sans 3" w:hAnsi="source sans 3"/>
            <w:color w:val="#000"/>
            <w:sz w:val="18"/>
            <w:u w:val="single"/>
          </w:rPr>
          <w:t xml:space="preserve">https://docs.picoreplayer.org/publishing/front_matter/</w:t>
        </w:r>
      </w:hyperlink>
      <w:r>
        <w:rPr>
          <w:rFonts w:eastAsia="source serif 4" w:cs="source serif 4" w:ascii="source serif 4" w:hAnsi="source serif 4"/>
          <w:color w:val="000000"/>
          <w:sz w:val="18"/>
        </w:rPr>
        <w:t xml:space="preserve"> </w:t>
      </w:r>
    </w:p>
    <w:bookmarkStart w:id="12" w:name="fn9"/>
    <w:bookmarkEnd w:id="12"/>
    <w:p>
      <w:pPr>
        <w:numPr>
          <w:ilvl w:val="0"/>
          <w:numId w:val="2"/>
        </w:numPr>
        <w:spacing w:line="360" w:after="210" w:lineRule="auto"/>
      </w:pPr>
      <w:hyperlink r:id="rId14">
        <w:r>
          <w:rPr>
            <w:rFonts w:eastAsia="source sans 3" w:cs="source sans 3" w:ascii="source sans 3" w:hAnsi="source sans 3"/>
            <w:color w:val="#000"/>
            <w:sz w:val="18"/>
            <w:u w:val="single"/>
          </w:rPr>
          <w:t xml:space="preserve">https://github.com/jekyll/jekyll/blob/master/docs/_docs/front-matter.md</w:t>
        </w:r>
      </w:hyperlink>
      <w:r>
        <w:rPr>
          <w:rFonts w:eastAsia="source serif 4" w:cs="source serif 4" w:ascii="source serif 4" w:hAnsi="source serif 4"/>
          <w:color w:val="000000"/>
          <w:sz w:val="18"/>
        </w:rPr>
        <w:t xml:space="preserve"> </w:t>
      </w:r>
    </w:p>
    <w:bookmarkStart w:id="13" w:name="fn10"/>
    <w:bookmarkEnd w:id="13"/>
    <w:p>
      <w:pPr>
        <w:numPr>
          <w:ilvl w:val="0"/>
          <w:numId w:val="2"/>
        </w:numPr>
        <w:spacing w:line="360" w:after="210" w:lineRule="auto"/>
      </w:pPr>
      <w:hyperlink r:id="rId15">
        <w:r>
          <w:rPr>
            <w:rFonts w:eastAsia="source sans 3" w:cs="source sans 3" w:ascii="source sans 3" w:hAnsi="source sans 3"/>
            <w:color w:val="#000"/>
            <w:sz w:val="18"/>
            <w:u w:val="single"/>
          </w:rPr>
          <w:t xml:space="preserve">https://gist.github.com/vlucas/92567cb04668c0c87a52f15764ab95e1</w:t>
        </w:r>
      </w:hyperlink>
      <w:r>
        <w:rPr>
          <w:rFonts w:eastAsia="source serif 4" w:cs="source serif 4" w:ascii="source serif 4" w:hAnsi="source serif 4"/>
          <w:color w:val="000000"/>
          <w:sz w:val="18"/>
        </w:rPr>
        <w:t xml:space="preserve"> </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 w:name="menlo">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abstractNum>
  <w:abstractNum w:abstractNumId="2">
    <w:multiLevelType w:val="hybridMultilevel"/>
    <w:lvl w:ilvl="0">
      <w:start w:val="1"/>
      <w:numFmt w:val="decimal"/>
      <w:lvlText w:val="%1."/>
      <w:lvlJc w:val="left"/>
      <w:pPr>
        <w:tabs>
          <w:tab w:val="num" w:pos="900"/>
        </w:tabs>
        <w:ind w:left="540" w:hanging="360"/>
      </w:pPr>
    </w:lvl>
  </w:abstractNum>
  <w:num w:numId="1">
    <w:abstractNumId w:val="1"/>
  </w:num>
  <w:num w:numId="2">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n-US"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a9f9336325e805daaf7d280ac500881655c7daea.png" TargetMode="Internal"/><Relationship Id="rId6" Type="http://schemas.openxmlformats.org/officeDocument/2006/relationships/hyperlink" Target="https://ashmaroli.github.io/jekyll/docs/front-matter/" TargetMode="External"/><Relationship Id="rId7" Type="http://schemas.openxmlformats.org/officeDocument/2006/relationships/hyperlink" Target="https://jekyllrb.com/docs/front-matter/" TargetMode="External"/><Relationship Id="rId8" Type="http://schemas.openxmlformats.org/officeDocument/2006/relationships/hyperlink" Target="https://www.billtetrault.com/jekyll/" TargetMode="External"/><Relationship Id="rId9" Type="http://schemas.openxmlformats.org/officeDocument/2006/relationships/hyperlink" Target="https://hexo.io/docs/front-matter" TargetMode="External"/><Relationship Id="rId10" Type="http://schemas.openxmlformats.org/officeDocument/2006/relationships/hyperlink" Target="https://www.youtube.com/watch?v=9vgQ8pd-8ek" TargetMode="External"/><Relationship Id="rId11" Type="http://schemas.openxmlformats.org/officeDocument/2006/relationships/hyperlink" Target="https://www.zettelnotes.com/note/yaml-frontmatter/" TargetMode="External"/><Relationship Id="rId12" Type="http://schemas.openxmlformats.org/officeDocument/2006/relationships/hyperlink" Target="https://github.com/Kernix13/markdown-cheatsheet/blob/master/frontmatter.md" TargetMode="External"/><Relationship Id="rId13" Type="http://schemas.openxmlformats.org/officeDocument/2006/relationships/hyperlink" Target="https://docs.picoreplayer.org/publishing/front_matter/" TargetMode="External"/><Relationship Id="rId14" Type="http://schemas.openxmlformats.org/officeDocument/2006/relationships/hyperlink" Target="https://github.com/jekyll/jekyll/blob/master/docs/_docs/front-matter.md" TargetMode="External"/><Relationship Id="rId15" Type="http://schemas.openxmlformats.org/officeDocument/2006/relationships/hyperlink" Target="https://gist.github.com/vlucas/92567cb04668c0c87a52f15764ab95e1"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2026-06-02T18:28:37.621Z</dcterms:created>
  <dcterms:modified xsi:type="dcterms:W3CDTF">2026-06-02T18:28:37.621Z</dcterms:modified>
</cp:coreProperties>
</file>